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B4CE9" w14:textId="00C44887" w:rsidR="00173BA2" w:rsidRPr="007A17BA" w:rsidRDefault="00173BA2" w:rsidP="007A17BA">
      <w:pPr>
        <w:pStyle w:val="Heading1"/>
        <w:spacing w:before="240"/>
        <w:ind w:left="0" w:firstLine="0"/>
        <w:jc w:val="center"/>
        <w:rPr>
          <w:sz w:val="26"/>
          <w:szCs w:val="26"/>
          <w:lang w:val="es-ES"/>
        </w:rPr>
      </w:pPr>
      <w:r w:rsidRPr="007A17BA">
        <w:rPr>
          <w:sz w:val="26"/>
          <w:szCs w:val="26"/>
          <w:lang w:val="es-ES"/>
        </w:rPr>
        <w:t>Reglas relativas a los atrasos en el pago de las tasas de recuperación</w:t>
      </w:r>
      <w:r w:rsidR="003D0812" w:rsidRPr="007A17BA">
        <w:rPr>
          <w:sz w:val="26"/>
          <w:szCs w:val="26"/>
          <w:lang w:val="es-ES"/>
        </w:rPr>
        <w:br/>
      </w:r>
      <w:r w:rsidRPr="007A17BA">
        <w:rPr>
          <w:sz w:val="26"/>
          <w:szCs w:val="26"/>
          <w:lang w:val="es-ES"/>
        </w:rPr>
        <w:t>de costes y la cancelación de las notificaciones de redes de satélites</w:t>
      </w:r>
      <w:r w:rsidR="007A17BA">
        <w:rPr>
          <w:sz w:val="26"/>
          <w:szCs w:val="26"/>
          <w:lang w:val="es-ES"/>
        </w:rPr>
        <w:br/>
      </w:r>
      <w:r w:rsidRPr="007A17BA">
        <w:rPr>
          <w:sz w:val="26"/>
          <w:szCs w:val="26"/>
          <w:lang w:val="es-ES"/>
        </w:rPr>
        <w:t>debido al impago de las tasas de recuperación de costes</w:t>
      </w:r>
      <w:r w:rsidR="003D0812" w:rsidRPr="007A17BA">
        <w:rPr>
          <w:sz w:val="26"/>
          <w:szCs w:val="26"/>
          <w:lang w:val="es-ES"/>
        </w:rPr>
        <w:br/>
      </w:r>
      <w:r w:rsidRPr="007A17BA">
        <w:rPr>
          <w:sz w:val="26"/>
          <w:szCs w:val="26"/>
          <w:lang w:val="es-ES"/>
        </w:rPr>
        <w:t>con arreglo al Acuerdo 482 del Consejo</w:t>
      </w:r>
    </w:p>
    <w:p w14:paraId="1A9241EA" w14:textId="6286B7F8" w:rsidR="00173BA2" w:rsidRPr="00D3267E" w:rsidRDefault="00173BA2" w:rsidP="00173BA2">
      <w:pPr>
        <w:spacing w:before="240"/>
        <w:rPr>
          <w:lang w:val="es-ES"/>
        </w:rPr>
      </w:pPr>
      <w:r w:rsidRPr="00D3267E">
        <w:rPr>
          <w:lang w:val="es-ES"/>
        </w:rPr>
        <w:t>1</w:t>
      </w:r>
      <w:r w:rsidRPr="00D3267E">
        <w:rPr>
          <w:lang w:val="es-ES"/>
        </w:rPr>
        <w:tab/>
        <w:t>Las disposiciones de los número</w:t>
      </w:r>
      <w:r w:rsidR="00586B04">
        <w:rPr>
          <w:lang w:val="es-ES"/>
        </w:rPr>
        <w:t>s</w:t>
      </w:r>
      <w:r w:rsidRPr="00D3267E">
        <w:rPr>
          <w:lang w:val="es-ES"/>
        </w:rPr>
        <w:t xml:space="preserve"> </w:t>
      </w:r>
      <w:r w:rsidRPr="005F5E82">
        <w:rPr>
          <w:b/>
          <w:bCs/>
          <w:lang w:val="es-ES"/>
        </w:rPr>
        <w:t>9.2B.1</w:t>
      </w:r>
      <w:r w:rsidRPr="00D3267E">
        <w:rPr>
          <w:lang w:val="es-ES"/>
        </w:rPr>
        <w:t xml:space="preserve"> y </w:t>
      </w:r>
      <w:r w:rsidRPr="005F5E82">
        <w:rPr>
          <w:b/>
          <w:bCs/>
          <w:lang w:val="es-ES"/>
        </w:rPr>
        <w:t>9.38.1</w:t>
      </w:r>
      <w:r w:rsidRPr="00D3267E">
        <w:rPr>
          <w:lang w:val="es-ES"/>
        </w:rPr>
        <w:t xml:space="preserve"> del Artículo </w:t>
      </w:r>
      <w:r w:rsidRPr="00D13DF1">
        <w:rPr>
          <w:b/>
          <w:bCs/>
          <w:lang w:val="es-ES"/>
        </w:rPr>
        <w:t>9</w:t>
      </w:r>
      <w:r w:rsidRPr="00D3267E">
        <w:rPr>
          <w:lang w:val="es-ES"/>
        </w:rPr>
        <w:t xml:space="preserve">, </w:t>
      </w:r>
      <w:r w:rsidRPr="005F5E82">
        <w:rPr>
          <w:b/>
          <w:bCs/>
          <w:lang w:val="es-ES"/>
        </w:rPr>
        <w:t>A.11.6</w:t>
      </w:r>
      <w:r w:rsidRPr="00D3267E">
        <w:rPr>
          <w:lang w:val="es-ES"/>
        </w:rPr>
        <w:t xml:space="preserve"> del Artículo</w:t>
      </w:r>
      <w:r w:rsidR="00D06E13">
        <w:rPr>
          <w:lang w:val="es-ES"/>
        </w:rPr>
        <w:t> </w:t>
      </w:r>
      <w:r w:rsidRPr="00D13DF1">
        <w:rPr>
          <w:b/>
          <w:bCs/>
          <w:lang w:val="es-ES"/>
        </w:rPr>
        <w:t>11</w:t>
      </w:r>
      <w:r w:rsidRPr="00D3267E">
        <w:rPr>
          <w:lang w:val="es-ES"/>
        </w:rPr>
        <w:t>, notas 7 al § 4.1.5, 8 al § 4.1.15, 16 al § 4.2.8, 17 al § 4.2.19, 18 al título del Artículo</w:t>
      </w:r>
      <w:r w:rsidR="007A17BA">
        <w:rPr>
          <w:lang w:val="es-ES"/>
        </w:rPr>
        <w:t> </w:t>
      </w:r>
      <w:r w:rsidRPr="00D41095">
        <w:rPr>
          <w:lang w:val="es-ES"/>
        </w:rPr>
        <w:t>5</w:t>
      </w:r>
      <w:r w:rsidRPr="00D3267E">
        <w:rPr>
          <w:lang w:val="es-ES"/>
        </w:rPr>
        <w:t>, del Apéndice </w:t>
      </w:r>
      <w:r w:rsidRPr="00D13DF1">
        <w:rPr>
          <w:b/>
          <w:bCs/>
          <w:lang w:val="es-ES"/>
        </w:rPr>
        <w:t>30</w:t>
      </w:r>
      <w:r w:rsidRPr="00D41095">
        <w:rPr>
          <w:lang w:val="es-ES"/>
        </w:rPr>
        <w:t>, notas 9 al § 4.1.5, 10 al § 4.1.15, 19</w:t>
      </w:r>
      <w:r w:rsidR="00D41095">
        <w:rPr>
          <w:lang w:val="es-ES"/>
        </w:rPr>
        <w:t xml:space="preserve"> al § 4.2.8, 20 al § 4.2.19, 22</w:t>
      </w:r>
      <w:r w:rsidR="00D06E13">
        <w:rPr>
          <w:lang w:val="es-ES"/>
        </w:rPr>
        <w:t xml:space="preserve"> </w:t>
      </w:r>
      <w:r w:rsidRPr="00D41095">
        <w:rPr>
          <w:lang w:val="es-ES"/>
        </w:rPr>
        <w:t xml:space="preserve">al título del Artículo 5, del Apéndice </w:t>
      </w:r>
      <w:r w:rsidRPr="00D13DF1">
        <w:rPr>
          <w:b/>
          <w:bCs/>
          <w:lang w:val="es-ES"/>
        </w:rPr>
        <w:t>30A</w:t>
      </w:r>
      <w:r w:rsidRPr="00D41095">
        <w:rPr>
          <w:lang w:val="es-ES"/>
        </w:rPr>
        <w:t xml:space="preserve"> y nota 1 al título del Artículo 6, nota 11 al título del Artículo 8 del Apéndice </w:t>
      </w:r>
      <w:r w:rsidRPr="00D13DF1">
        <w:rPr>
          <w:b/>
          <w:bCs/>
          <w:lang w:val="es-ES"/>
        </w:rPr>
        <w:t>30B</w:t>
      </w:r>
      <w:r w:rsidRPr="00D41095">
        <w:rPr>
          <w:lang w:val="es-ES"/>
        </w:rPr>
        <w:t>, establecen</w:t>
      </w:r>
      <w:r w:rsidRPr="00D3267E">
        <w:rPr>
          <w:lang w:val="es-ES"/>
        </w:rPr>
        <w:t xml:space="preserve"> que </w:t>
      </w:r>
      <w:r w:rsidRPr="00D3267E">
        <w:rPr>
          <w:color w:val="000000"/>
          <w:lang w:val="es-ES"/>
        </w:rPr>
        <w:t xml:space="preserve">de no recibirse los pagos por una notificación presentada con arreglo a las disposiciones indicadas </w:t>
      </w:r>
      <w:r w:rsidRPr="00D3267E">
        <w:rPr>
          <w:i/>
          <w:iCs/>
          <w:color w:val="000000"/>
          <w:lang w:val="es-ES"/>
        </w:rPr>
        <w:t xml:space="preserve">supra </w:t>
      </w:r>
      <w:r w:rsidRPr="00D3267E">
        <w:rPr>
          <w:color w:val="000000"/>
          <w:lang w:val="es-ES"/>
        </w:rPr>
        <w:t>de conformidad con lo dispuesto en el Acuerdo</w:t>
      </w:r>
      <w:r w:rsidR="00D06E13">
        <w:rPr>
          <w:color w:val="000000"/>
          <w:lang w:val="es-ES"/>
        </w:rPr>
        <w:t> </w:t>
      </w:r>
      <w:r w:rsidRPr="00D3267E">
        <w:rPr>
          <w:color w:val="000000"/>
          <w:lang w:val="es-ES"/>
        </w:rPr>
        <w:t>482 del Consejo, modificado, sobre aplicación de la recuperación de costes a las notificaciones de redes de satélites, la Oficina anulará la publicación tras haber informado a las administraciones afectadas</w:t>
      </w:r>
      <w:r w:rsidRPr="00D3267E">
        <w:rPr>
          <w:lang w:val="es-ES"/>
        </w:rPr>
        <w:t>.</w:t>
      </w:r>
    </w:p>
    <w:p w14:paraId="77F77B7B" w14:textId="77777777" w:rsidR="00173BA2" w:rsidRPr="00D3267E" w:rsidRDefault="00173BA2" w:rsidP="00173BA2">
      <w:pPr>
        <w:rPr>
          <w:lang w:val="es-ES"/>
        </w:rPr>
      </w:pPr>
      <w:r w:rsidRPr="00D3267E">
        <w:rPr>
          <w:rFonts w:eastAsia="SimSun"/>
          <w:lang w:val="es-ES"/>
        </w:rPr>
        <w:t>2</w:t>
      </w:r>
      <w:r w:rsidRPr="00D3267E">
        <w:rPr>
          <w:rFonts w:eastAsia="SimSun"/>
          <w:lang w:val="es-ES"/>
        </w:rPr>
        <w:tab/>
        <w:t xml:space="preserve">El Acuerdo 482 estipula que el pago de las cantidades se efectúe sobre la base de una factura enviada a la administración notificante tras su recepción por la Oficina, en el plazo de seis meses a partir de la fecha de la factura. </w:t>
      </w:r>
    </w:p>
    <w:p w14:paraId="6C4916D7" w14:textId="77777777" w:rsidR="00173BA2" w:rsidRPr="00D3267E" w:rsidRDefault="00173BA2" w:rsidP="00173BA2">
      <w:pPr>
        <w:rPr>
          <w:rFonts w:eastAsia="SimSun"/>
          <w:lang w:val="es-ES"/>
        </w:rPr>
      </w:pPr>
      <w:r w:rsidRPr="00D3267E">
        <w:rPr>
          <w:rFonts w:eastAsia="SimSun"/>
          <w:lang w:val="es-ES"/>
        </w:rPr>
        <w:t>3</w:t>
      </w:r>
      <w:r w:rsidRPr="00D3267E">
        <w:rPr>
          <w:rFonts w:eastAsia="SimSun"/>
          <w:lang w:val="es-ES"/>
        </w:rPr>
        <w:tab/>
        <w:t>Debido al retraso administrativo vinculado principalmente a la confirmación del pago por las instituciones financieras y la validación interna entre la Oficina y el Departamento de Gestión de Recursos Financieros de la Secretaría General, la decisión de la Oficina sobre el retraso o impago de una notificación de redes de satélites se somete normalmente a consideración y confirmación en la reunión de la BR IFIC que normalmente tiene lugar a más tardar seis semanas después del plazo de seis meses fijado para las tasas de recuperación de costes de las notificaciones consideradas.</w:t>
      </w:r>
    </w:p>
    <w:p w14:paraId="4AFE2B5E" w14:textId="77777777" w:rsidR="00173BA2" w:rsidRPr="00D3267E" w:rsidRDefault="00173BA2" w:rsidP="00173BA2">
      <w:pPr>
        <w:rPr>
          <w:rFonts w:eastAsia="SimSun"/>
          <w:lang w:val="es-ES"/>
        </w:rPr>
      </w:pPr>
      <w:r w:rsidRPr="00D3267E">
        <w:rPr>
          <w:rFonts w:eastAsia="SimSun"/>
          <w:lang w:val="es-ES"/>
        </w:rPr>
        <w:t>4</w:t>
      </w:r>
      <w:r w:rsidRPr="00D3267E">
        <w:rPr>
          <w:rFonts w:eastAsia="SimSun"/>
          <w:lang w:val="es-ES"/>
        </w:rPr>
        <w:tab/>
        <w:t xml:space="preserve">En vista de lo indicado </w:t>
      </w:r>
      <w:r w:rsidRPr="00D3267E">
        <w:rPr>
          <w:rFonts w:eastAsia="SimSun"/>
          <w:i/>
          <w:iCs/>
          <w:lang w:val="es-ES"/>
        </w:rPr>
        <w:t>supra</w:t>
      </w:r>
      <w:r w:rsidRPr="00D3267E">
        <w:rPr>
          <w:rFonts w:eastAsia="SimSun"/>
          <w:lang w:val="es-ES"/>
        </w:rPr>
        <w:t>, la Junta decidió que las notificaciones de redes de satélites cuyo pago se recibió después del plazo de seis meses pero antes de la reunión de la BR IFIC en la que se considera el retraso en el pago, seguirán teniéndose en cuenta.</w:t>
      </w:r>
    </w:p>
    <w:p w14:paraId="13D29955" w14:textId="6872A690" w:rsidR="00173BA2" w:rsidRDefault="00173BA2" w:rsidP="00173BA2">
      <w:pPr>
        <w:rPr>
          <w:rFonts w:eastAsia="SimSun"/>
          <w:lang w:val="es-ES"/>
        </w:rPr>
      </w:pPr>
      <w:r w:rsidRPr="00D3267E">
        <w:rPr>
          <w:rFonts w:eastAsia="SimSun"/>
          <w:lang w:val="es-ES"/>
        </w:rPr>
        <w:t>5</w:t>
      </w:r>
      <w:r w:rsidRPr="00D3267E">
        <w:rPr>
          <w:rFonts w:eastAsia="SimSun"/>
          <w:lang w:val="es-ES"/>
        </w:rPr>
        <w:tab/>
        <w:t>Toda notificación de redes de satélites cuyo pago se recibe después de la reunión de la BR IFIC en la que se ha tomado la decisión de cancelar esa notificación por impago, dejará de tenerse en cuenta, y la información será notificada a una reunión de la Junta del Reglamento de Radiocomunicaciones.</w:t>
      </w:r>
    </w:p>
    <w:p w14:paraId="4077F4E7" w14:textId="77777777" w:rsidR="00154DC7" w:rsidRPr="00154DC7" w:rsidRDefault="00154DC7" w:rsidP="00154DC7">
      <w:pPr>
        <w:jc w:val="center"/>
      </w:pPr>
      <w:r w:rsidRPr="00154DC7">
        <w:t>___________________</w:t>
      </w:r>
    </w:p>
    <w:p w14:paraId="2A3A16ED" w14:textId="77777777" w:rsidR="00C604B8" w:rsidRDefault="00C604B8" w:rsidP="00C604B8">
      <w:pPr>
        <w:jc w:val="left"/>
        <w:rPr>
          <w:color w:val="000000"/>
          <w:lang w:val="es-ES_tradnl"/>
        </w:rPr>
      </w:pPr>
    </w:p>
    <w:p w14:paraId="091F656D" w14:textId="77777777" w:rsidR="00C604B8" w:rsidRDefault="00C604B8" w:rsidP="00C604B8">
      <w:pPr>
        <w:jc w:val="left"/>
        <w:rPr>
          <w:color w:val="000000"/>
          <w:lang w:val="es-ES_tradnl"/>
        </w:rPr>
      </w:pPr>
    </w:p>
    <w:p w14:paraId="1482BB0D" w14:textId="77777777" w:rsidR="00C604B8" w:rsidRPr="0090341E" w:rsidRDefault="00C604B8" w:rsidP="0080734C">
      <w:pPr>
        <w:rPr>
          <w:lang w:val="es-ES_tradnl"/>
        </w:rPr>
      </w:pPr>
    </w:p>
    <w:p w14:paraId="764E9AE4" w14:textId="77777777" w:rsidR="000A3673" w:rsidRPr="0090341E" w:rsidRDefault="000A3673">
      <w:pPr>
        <w:jc w:val="center"/>
        <w:rPr>
          <w:color w:val="000000"/>
          <w:lang w:val="es-ES_tradnl"/>
        </w:rPr>
        <w:sectPr w:rsidR="000A3673" w:rsidRPr="0090341E" w:rsidSect="00E06D24">
          <w:headerReference w:type="first" r:id="rId8"/>
          <w:footnotePr>
            <w:pos w:val="beneathText"/>
            <w:numFmt w:val="chicago"/>
          </w:footnotePr>
          <w:pgSz w:w="11907" w:h="16840" w:code="9"/>
          <w:pgMar w:top="1701" w:right="851" w:bottom="1134" w:left="1985" w:header="720" w:footer="482" w:gutter="0"/>
          <w:cols w:space="720"/>
          <w:vAlign w:val="both"/>
          <w:titlePg/>
        </w:sectPr>
      </w:pPr>
    </w:p>
    <w:p w14:paraId="4020E94F" w14:textId="77777777" w:rsidR="00D162B5" w:rsidRPr="0090341E" w:rsidRDefault="00D162B5" w:rsidP="00051F85">
      <w:pPr>
        <w:rPr>
          <w:lang w:val="es-ES_tradnl"/>
        </w:rPr>
      </w:pPr>
    </w:p>
    <w:sectPr w:rsidR="00D162B5" w:rsidRPr="0090341E" w:rsidSect="00151FFA">
      <w:headerReference w:type="first" r:id="rId9"/>
      <w:foot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2C4B4" w14:textId="77777777" w:rsidR="00712A6B" w:rsidRDefault="00712A6B">
      <w:r>
        <w:separator/>
      </w:r>
    </w:p>
  </w:endnote>
  <w:endnote w:type="continuationSeparator" w:id="0">
    <w:p w14:paraId="60D53A50" w14:textId="77777777" w:rsidR="00712A6B" w:rsidRDefault="0071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4452F" w14:textId="77777777" w:rsidR="00712A6B" w:rsidRDefault="00712A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C8C2" w14:textId="77777777" w:rsidR="00712A6B" w:rsidRDefault="00712A6B">
      <w:r>
        <w:rPr>
          <w:b/>
        </w:rPr>
        <w:t>_______________</w:t>
      </w:r>
    </w:p>
  </w:footnote>
  <w:footnote w:type="continuationSeparator" w:id="0">
    <w:p w14:paraId="30B06629" w14:textId="77777777" w:rsidR="00712A6B" w:rsidRDefault="00712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22D4" w14:paraId="4B3D179D" w14:textId="77777777" w:rsidTr="005F6FD9">
      <w:trPr>
        <w:cantSplit/>
        <w:jc w:val="right"/>
      </w:trPr>
      <w:tc>
        <w:tcPr>
          <w:tcW w:w="1701" w:type="dxa"/>
          <w:tcBorders>
            <w:top w:val="single" w:sz="6" w:space="0" w:color="auto"/>
            <w:left w:val="single" w:sz="6" w:space="0" w:color="auto"/>
            <w:bottom w:val="single" w:sz="6" w:space="0" w:color="auto"/>
            <w:right w:val="single" w:sz="6" w:space="0" w:color="auto"/>
          </w:tcBorders>
        </w:tcPr>
        <w:p w14:paraId="010D93F6" w14:textId="77777777" w:rsidR="00BA22D4" w:rsidRDefault="00BA22D4" w:rsidP="00BA22D4">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0F1FD9E" w14:textId="655AB2EB" w:rsidR="00BA22D4" w:rsidRDefault="007C4BC5" w:rsidP="00BA22D4">
          <w:pPr>
            <w:pStyle w:val="HeaderRegProc"/>
            <w:rPr>
              <w:color w:val="000000"/>
              <w:lang w:val="es-ES_tradnl"/>
            </w:rPr>
          </w:pPr>
          <w:r w:rsidRPr="007C4BC5">
            <w:rPr>
              <w:color w:val="000000"/>
              <w:lang w:val="es-ES_tradnl"/>
            </w:rPr>
            <w:t>Pago atrasado</w:t>
          </w:r>
        </w:p>
      </w:tc>
      <w:tc>
        <w:tcPr>
          <w:tcW w:w="1701" w:type="dxa"/>
          <w:tcBorders>
            <w:top w:val="single" w:sz="6" w:space="0" w:color="auto"/>
            <w:left w:val="single" w:sz="6" w:space="0" w:color="auto"/>
            <w:bottom w:val="single" w:sz="6" w:space="0" w:color="auto"/>
            <w:right w:val="single" w:sz="6" w:space="0" w:color="auto"/>
          </w:tcBorders>
        </w:tcPr>
        <w:p w14:paraId="5E9B412F" w14:textId="77777777" w:rsidR="00BA22D4" w:rsidRDefault="00BA22D4" w:rsidP="00BA22D4">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20828D" w14:textId="77777777" w:rsidR="00BA22D4" w:rsidRDefault="00BA22D4" w:rsidP="00BA22D4">
          <w:pPr>
            <w:pStyle w:val="HeaderRegProc"/>
            <w:rPr>
              <w:color w:val="000000"/>
              <w:lang w:val="es-ES_tradnl"/>
            </w:rPr>
          </w:pPr>
          <w:r>
            <w:rPr>
              <w:color w:val="000000"/>
              <w:lang w:val="es-ES_tradnl"/>
            </w:rPr>
            <w:t>rev. -</w:t>
          </w:r>
        </w:p>
      </w:tc>
    </w:tr>
  </w:tbl>
  <w:p w14:paraId="00D16D40" w14:textId="77777777" w:rsidR="00712A6B" w:rsidRPr="0016252D" w:rsidRDefault="00712A6B" w:rsidP="001625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15971" w14:textId="77777777" w:rsidR="00712A6B" w:rsidRDefault="00712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16cid:durableId="261648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673"/>
    <w:rsid w:val="00000E9D"/>
    <w:rsid w:val="00005ADD"/>
    <w:rsid w:val="000135BE"/>
    <w:rsid w:val="00014758"/>
    <w:rsid w:val="0002352B"/>
    <w:rsid w:val="0002745A"/>
    <w:rsid w:val="00032BB2"/>
    <w:rsid w:val="00043ACB"/>
    <w:rsid w:val="00045024"/>
    <w:rsid w:val="00050B0C"/>
    <w:rsid w:val="00051F85"/>
    <w:rsid w:val="00053923"/>
    <w:rsid w:val="000616E1"/>
    <w:rsid w:val="00061DE7"/>
    <w:rsid w:val="0006372D"/>
    <w:rsid w:val="000639D1"/>
    <w:rsid w:val="0006778F"/>
    <w:rsid w:val="0007439C"/>
    <w:rsid w:val="000A3673"/>
    <w:rsid w:val="000C2636"/>
    <w:rsid w:val="000C2B0E"/>
    <w:rsid w:val="000C424F"/>
    <w:rsid w:val="000D1593"/>
    <w:rsid w:val="000D6492"/>
    <w:rsid w:val="000E037E"/>
    <w:rsid w:val="000E3057"/>
    <w:rsid w:val="000E4B99"/>
    <w:rsid w:val="000E58F2"/>
    <w:rsid w:val="000E6ED3"/>
    <w:rsid w:val="00100F40"/>
    <w:rsid w:val="00104F54"/>
    <w:rsid w:val="001068DF"/>
    <w:rsid w:val="00106971"/>
    <w:rsid w:val="00112192"/>
    <w:rsid w:val="001125E4"/>
    <w:rsid w:val="001131A8"/>
    <w:rsid w:val="00120114"/>
    <w:rsid w:val="00120252"/>
    <w:rsid w:val="0012165C"/>
    <w:rsid w:val="00125E58"/>
    <w:rsid w:val="00126E1A"/>
    <w:rsid w:val="00130C69"/>
    <w:rsid w:val="001320CA"/>
    <w:rsid w:val="0013219F"/>
    <w:rsid w:val="001330E2"/>
    <w:rsid w:val="00136DDE"/>
    <w:rsid w:val="001453A6"/>
    <w:rsid w:val="00146CB2"/>
    <w:rsid w:val="00151FFA"/>
    <w:rsid w:val="00154DC7"/>
    <w:rsid w:val="00157D48"/>
    <w:rsid w:val="0016252D"/>
    <w:rsid w:val="00173BA2"/>
    <w:rsid w:val="00180AEF"/>
    <w:rsid w:val="00190A7B"/>
    <w:rsid w:val="001974BC"/>
    <w:rsid w:val="001A1A1B"/>
    <w:rsid w:val="001A4EFF"/>
    <w:rsid w:val="001C083C"/>
    <w:rsid w:val="001D5A90"/>
    <w:rsid w:val="00214CD7"/>
    <w:rsid w:val="002151E6"/>
    <w:rsid w:val="0021638A"/>
    <w:rsid w:val="00221A7C"/>
    <w:rsid w:val="00231E70"/>
    <w:rsid w:val="0023715A"/>
    <w:rsid w:val="00240329"/>
    <w:rsid w:val="002439C4"/>
    <w:rsid w:val="00246C44"/>
    <w:rsid w:val="002515FA"/>
    <w:rsid w:val="0025763D"/>
    <w:rsid w:val="002576D1"/>
    <w:rsid w:val="00261763"/>
    <w:rsid w:val="00263535"/>
    <w:rsid w:val="002671FC"/>
    <w:rsid w:val="00272944"/>
    <w:rsid w:val="00272C00"/>
    <w:rsid w:val="00276677"/>
    <w:rsid w:val="00285996"/>
    <w:rsid w:val="00291CA2"/>
    <w:rsid w:val="00296A28"/>
    <w:rsid w:val="002A3DBA"/>
    <w:rsid w:val="002A5605"/>
    <w:rsid w:val="002B46D6"/>
    <w:rsid w:val="002B54A0"/>
    <w:rsid w:val="002B6620"/>
    <w:rsid w:val="002C32E7"/>
    <w:rsid w:val="002C508F"/>
    <w:rsid w:val="002C62EC"/>
    <w:rsid w:val="002D00D4"/>
    <w:rsid w:val="002D4FAC"/>
    <w:rsid w:val="002D51CF"/>
    <w:rsid w:val="002D5A2F"/>
    <w:rsid w:val="002D6821"/>
    <w:rsid w:val="002D6D6C"/>
    <w:rsid w:val="002E10E1"/>
    <w:rsid w:val="002E682E"/>
    <w:rsid w:val="002E76B0"/>
    <w:rsid w:val="002F30C2"/>
    <w:rsid w:val="002F6D2C"/>
    <w:rsid w:val="002F79D0"/>
    <w:rsid w:val="003004D4"/>
    <w:rsid w:val="003008B8"/>
    <w:rsid w:val="0030359C"/>
    <w:rsid w:val="00310BDC"/>
    <w:rsid w:val="00310E1F"/>
    <w:rsid w:val="0031617D"/>
    <w:rsid w:val="003200D6"/>
    <w:rsid w:val="00325932"/>
    <w:rsid w:val="003319B6"/>
    <w:rsid w:val="003352D1"/>
    <w:rsid w:val="00343133"/>
    <w:rsid w:val="0034410E"/>
    <w:rsid w:val="00347732"/>
    <w:rsid w:val="003502D6"/>
    <w:rsid w:val="003511B2"/>
    <w:rsid w:val="003571D4"/>
    <w:rsid w:val="00361BC0"/>
    <w:rsid w:val="00396042"/>
    <w:rsid w:val="00396AC5"/>
    <w:rsid w:val="003A6C7E"/>
    <w:rsid w:val="003B3CC1"/>
    <w:rsid w:val="003B5175"/>
    <w:rsid w:val="003B79EA"/>
    <w:rsid w:val="003C5F1E"/>
    <w:rsid w:val="003D0812"/>
    <w:rsid w:val="003E65BD"/>
    <w:rsid w:val="003E7B00"/>
    <w:rsid w:val="003F09B9"/>
    <w:rsid w:val="003F7D33"/>
    <w:rsid w:val="004010F5"/>
    <w:rsid w:val="00407072"/>
    <w:rsid w:val="004129CA"/>
    <w:rsid w:val="00431A57"/>
    <w:rsid w:val="004360D0"/>
    <w:rsid w:val="00440372"/>
    <w:rsid w:val="00446F7A"/>
    <w:rsid w:val="004509D0"/>
    <w:rsid w:val="00453A7D"/>
    <w:rsid w:val="00454A46"/>
    <w:rsid w:val="00455C84"/>
    <w:rsid w:val="004568F1"/>
    <w:rsid w:val="00472864"/>
    <w:rsid w:val="0047374B"/>
    <w:rsid w:val="00476EC6"/>
    <w:rsid w:val="0048388A"/>
    <w:rsid w:val="0049774F"/>
    <w:rsid w:val="004A0E94"/>
    <w:rsid w:val="004A14A1"/>
    <w:rsid w:val="004A7F20"/>
    <w:rsid w:val="004C118C"/>
    <w:rsid w:val="004C3C1D"/>
    <w:rsid w:val="004C47D4"/>
    <w:rsid w:val="004D0935"/>
    <w:rsid w:val="004D48D8"/>
    <w:rsid w:val="004D7ABA"/>
    <w:rsid w:val="004E15D0"/>
    <w:rsid w:val="004E18BF"/>
    <w:rsid w:val="004E3CE9"/>
    <w:rsid w:val="004E5756"/>
    <w:rsid w:val="004E751A"/>
    <w:rsid w:val="004E7970"/>
    <w:rsid w:val="004F1228"/>
    <w:rsid w:val="004F2296"/>
    <w:rsid w:val="005117F3"/>
    <w:rsid w:val="00513060"/>
    <w:rsid w:val="005260D4"/>
    <w:rsid w:val="00526904"/>
    <w:rsid w:val="005313E9"/>
    <w:rsid w:val="00544C16"/>
    <w:rsid w:val="00547D1B"/>
    <w:rsid w:val="00556261"/>
    <w:rsid w:val="005613DB"/>
    <w:rsid w:val="0057721F"/>
    <w:rsid w:val="00583FD2"/>
    <w:rsid w:val="005845C4"/>
    <w:rsid w:val="00584905"/>
    <w:rsid w:val="00586B04"/>
    <w:rsid w:val="00593288"/>
    <w:rsid w:val="00593BF1"/>
    <w:rsid w:val="0059738E"/>
    <w:rsid w:val="00597CFE"/>
    <w:rsid w:val="005A0EF6"/>
    <w:rsid w:val="005A2A3A"/>
    <w:rsid w:val="005A4BB0"/>
    <w:rsid w:val="005A751D"/>
    <w:rsid w:val="005B2FEC"/>
    <w:rsid w:val="005B4510"/>
    <w:rsid w:val="005B6BF7"/>
    <w:rsid w:val="005C4B5B"/>
    <w:rsid w:val="005C6C87"/>
    <w:rsid w:val="005C7EFA"/>
    <w:rsid w:val="005D124F"/>
    <w:rsid w:val="005D40BF"/>
    <w:rsid w:val="005E17BD"/>
    <w:rsid w:val="005E51EE"/>
    <w:rsid w:val="005E6131"/>
    <w:rsid w:val="005E6401"/>
    <w:rsid w:val="005F5E82"/>
    <w:rsid w:val="005F74EA"/>
    <w:rsid w:val="006030F4"/>
    <w:rsid w:val="006048D6"/>
    <w:rsid w:val="00606576"/>
    <w:rsid w:val="0060768B"/>
    <w:rsid w:val="00623758"/>
    <w:rsid w:val="00624DFD"/>
    <w:rsid w:val="00630E6C"/>
    <w:rsid w:val="0063131B"/>
    <w:rsid w:val="00632EFE"/>
    <w:rsid w:val="00633846"/>
    <w:rsid w:val="006379BA"/>
    <w:rsid w:val="00641976"/>
    <w:rsid w:val="00651525"/>
    <w:rsid w:val="0065178B"/>
    <w:rsid w:val="0065312C"/>
    <w:rsid w:val="0065752C"/>
    <w:rsid w:val="00661D6D"/>
    <w:rsid w:val="00663A2D"/>
    <w:rsid w:val="00665803"/>
    <w:rsid w:val="00670477"/>
    <w:rsid w:val="00677A35"/>
    <w:rsid w:val="006A164E"/>
    <w:rsid w:val="006B7075"/>
    <w:rsid w:val="006B78E0"/>
    <w:rsid w:val="006C4572"/>
    <w:rsid w:val="006C4E8F"/>
    <w:rsid w:val="006D1083"/>
    <w:rsid w:val="006E171C"/>
    <w:rsid w:val="006E5ED8"/>
    <w:rsid w:val="006E6E5E"/>
    <w:rsid w:val="006F54F4"/>
    <w:rsid w:val="00703D75"/>
    <w:rsid w:val="00705FE3"/>
    <w:rsid w:val="0070677F"/>
    <w:rsid w:val="00707C1D"/>
    <w:rsid w:val="00712A6B"/>
    <w:rsid w:val="00716E3B"/>
    <w:rsid w:val="00717353"/>
    <w:rsid w:val="007224A7"/>
    <w:rsid w:val="00735551"/>
    <w:rsid w:val="00736A1F"/>
    <w:rsid w:val="00747E40"/>
    <w:rsid w:val="0075135F"/>
    <w:rsid w:val="00754C70"/>
    <w:rsid w:val="007572EC"/>
    <w:rsid w:val="00757920"/>
    <w:rsid w:val="00766713"/>
    <w:rsid w:val="00767ECF"/>
    <w:rsid w:val="00770940"/>
    <w:rsid w:val="0077185F"/>
    <w:rsid w:val="00777E2A"/>
    <w:rsid w:val="007806A3"/>
    <w:rsid w:val="007856EF"/>
    <w:rsid w:val="0079203B"/>
    <w:rsid w:val="007942A4"/>
    <w:rsid w:val="0079698B"/>
    <w:rsid w:val="007A17BA"/>
    <w:rsid w:val="007A3439"/>
    <w:rsid w:val="007A503E"/>
    <w:rsid w:val="007A5479"/>
    <w:rsid w:val="007A6624"/>
    <w:rsid w:val="007A7699"/>
    <w:rsid w:val="007B0A1F"/>
    <w:rsid w:val="007B4441"/>
    <w:rsid w:val="007C1D22"/>
    <w:rsid w:val="007C340A"/>
    <w:rsid w:val="007C40A0"/>
    <w:rsid w:val="007C4BC5"/>
    <w:rsid w:val="007C533F"/>
    <w:rsid w:val="007C5AA2"/>
    <w:rsid w:val="007C5BCF"/>
    <w:rsid w:val="007D0027"/>
    <w:rsid w:val="007D3497"/>
    <w:rsid w:val="007D5FC6"/>
    <w:rsid w:val="007D60E8"/>
    <w:rsid w:val="007D6571"/>
    <w:rsid w:val="007E3161"/>
    <w:rsid w:val="007E583B"/>
    <w:rsid w:val="007E6474"/>
    <w:rsid w:val="007E78D4"/>
    <w:rsid w:val="007E7D1C"/>
    <w:rsid w:val="007F25D3"/>
    <w:rsid w:val="007F2CC1"/>
    <w:rsid w:val="007F5597"/>
    <w:rsid w:val="007F67CE"/>
    <w:rsid w:val="008016A0"/>
    <w:rsid w:val="00804417"/>
    <w:rsid w:val="008056E9"/>
    <w:rsid w:val="0080734C"/>
    <w:rsid w:val="00812A72"/>
    <w:rsid w:val="008148AD"/>
    <w:rsid w:val="008153F3"/>
    <w:rsid w:val="008218D7"/>
    <w:rsid w:val="00823BEB"/>
    <w:rsid w:val="008307BF"/>
    <w:rsid w:val="00836B42"/>
    <w:rsid w:val="008372CB"/>
    <w:rsid w:val="00842696"/>
    <w:rsid w:val="0085195C"/>
    <w:rsid w:val="008526A3"/>
    <w:rsid w:val="008556EB"/>
    <w:rsid w:val="008575CA"/>
    <w:rsid w:val="00857835"/>
    <w:rsid w:val="008707DA"/>
    <w:rsid w:val="00874375"/>
    <w:rsid w:val="0088006B"/>
    <w:rsid w:val="0088293C"/>
    <w:rsid w:val="00886F63"/>
    <w:rsid w:val="00891190"/>
    <w:rsid w:val="00897AB5"/>
    <w:rsid w:val="008A0577"/>
    <w:rsid w:val="008A093D"/>
    <w:rsid w:val="008A5214"/>
    <w:rsid w:val="008B3CC4"/>
    <w:rsid w:val="008B7C59"/>
    <w:rsid w:val="008D18F9"/>
    <w:rsid w:val="008D4A32"/>
    <w:rsid w:val="008D78C4"/>
    <w:rsid w:val="008E5B5A"/>
    <w:rsid w:val="008F4DDC"/>
    <w:rsid w:val="008F5B06"/>
    <w:rsid w:val="0090024B"/>
    <w:rsid w:val="00901E60"/>
    <w:rsid w:val="0090341E"/>
    <w:rsid w:val="00906C0A"/>
    <w:rsid w:val="009107BC"/>
    <w:rsid w:val="0091281B"/>
    <w:rsid w:val="0092159C"/>
    <w:rsid w:val="0092318E"/>
    <w:rsid w:val="00934B13"/>
    <w:rsid w:val="00936C70"/>
    <w:rsid w:val="009519B9"/>
    <w:rsid w:val="0095333E"/>
    <w:rsid w:val="009536E1"/>
    <w:rsid w:val="00957D98"/>
    <w:rsid w:val="00966779"/>
    <w:rsid w:val="0097032F"/>
    <w:rsid w:val="0097307E"/>
    <w:rsid w:val="00991C0C"/>
    <w:rsid w:val="00993566"/>
    <w:rsid w:val="009A1FE4"/>
    <w:rsid w:val="009A4016"/>
    <w:rsid w:val="009B22D3"/>
    <w:rsid w:val="009C11B4"/>
    <w:rsid w:val="009D179B"/>
    <w:rsid w:val="009E1ED4"/>
    <w:rsid w:val="009E3E5F"/>
    <w:rsid w:val="009F10EC"/>
    <w:rsid w:val="009F2D77"/>
    <w:rsid w:val="009F2F6B"/>
    <w:rsid w:val="00A02E0E"/>
    <w:rsid w:val="00A02EF1"/>
    <w:rsid w:val="00A0510C"/>
    <w:rsid w:val="00A1316B"/>
    <w:rsid w:val="00A16135"/>
    <w:rsid w:val="00A16774"/>
    <w:rsid w:val="00A24EC8"/>
    <w:rsid w:val="00A26115"/>
    <w:rsid w:val="00A26C0B"/>
    <w:rsid w:val="00A270BB"/>
    <w:rsid w:val="00A2764E"/>
    <w:rsid w:val="00A31BE0"/>
    <w:rsid w:val="00A33677"/>
    <w:rsid w:val="00A3748C"/>
    <w:rsid w:val="00A37CBD"/>
    <w:rsid w:val="00A462B5"/>
    <w:rsid w:val="00A50E2F"/>
    <w:rsid w:val="00A54EAE"/>
    <w:rsid w:val="00A578B8"/>
    <w:rsid w:val="00A64772"/>
    <w:rsid w:val="00A64C0B"/>
    <w:rsid w:val="00A730F1"/>
    <w:rsid w:val="00A75B0F"/>
    <w:rsid w:val="00A84C28"/>
    <w:rsid w:val="00A923A9"/>
    <w:rsid w:val="00A95E4B"/>
    <w:rsid w:val="00A96299"/>
    <w:rsid w:val="00A96D73"/>
    <w:rsid w:val="00AB0D84"/>
    <w:rsid w:val="00AB14F3"/>
    <w:rsid w:val="00AB4437"/>
    <w:rsid w:val="00AC3933"/>
    <w:rsid w:val="00AC768F"/>
    <w:rsid w:val="00AC7D49"/>
    <w:rsid w:val="00AD0F24"/>
    <w:rsid w:val="00AD58EA"/>
    <w:rsid w:val="00AE14C2"/>
    <w:rsid w:val="00AF1C9F"/>
    <w:rsid w:val="00AF5F3D"/>
    <w:rsid w:val="00AF7A50"/>
    <w:rsid w:val="00B12CBF"/>
    <w:rsid w:val="00B132EF"/>
    <w:rsid w:val="00B15434"/>
    <w:rsid w:val="00B164EF"/>
    <w:rsid w:val="00B24015"/>
    <w:rsid w:val="00B24C14"/>
    <w:rsid w:val="00B31FFF"/>
    <w:rsid w:val="00B3423F"/>
    <w:rsid w:val="00B345A2"/>
    <w:rsid w:val="00B37DED"/>
    <w:rsid w:val="00B427FB"/>
    <w:rsid w:val="00B42B4B"/>
    <w:rsid w:val="00B53B6A"/>
    <w:rsid w:val="00B54889"/>
    <w:rsid w:val="00B77519"/>
    <w:rsid w:val="00B8442F"/>
    <w:rsid w:val="00B84D6E"/>
    <w:rsid w:val="00B9389D"/>
    <w:rsid w:val="00B93D37"/>
    <w:rsid w:val="00B9444C"/>
    <w:rsid w:val="00B97451"/>
    <w:rsid w:val="00BA1476"/>
    <w:rsid w:val="00BA22D4"/>
    <w:rsid w:val="00BA372B"/>
    <w:rsid w:val="00BA393F"/>
    <w:rsid w:val="00BA411E"/>
    <w:rsid w:val="00BA425D"/>
    <w:rsid w:val="00BA5433"/>
    <w:rsid w:val="00BB31B5"/>
    <w:rsid w:val="00BB31FE"/>
    <w:rsid w:val="00BC3431"/>
    <w:rsid w:val="00BC46A9"/>
    <w:rsid w:val="00BC5521"/>
    <w:rsid w:val="00BD1183"/>
    <w:rsid w:val="00BD1C50"/>
    <w:rsid w:val="00BD5CBC"/>
    <w:rsid w:val="00BE1A92"/>
    <w:rsid w:val="00BE50C4"/>
    <w:rsid w:val="00BE5C1B"/>
    <w:rsid w:val="00BF2C2B"/>
    <w:rsid w:val="00BF6DB3"/>
    <w:rsid w:val="00C02D08"/>
    <w:rsid w:val="00C235ED"/>
    <w:rsid w:val="00C343B7"/>
    <w:rsid w:val="00C36230"/>
    <w:rsid w:val="00C46518"/>
    <w:rsid w:val="00C604B8"/>
    <w:rsid w:val="00C63F25"/>
    <w:rsid w:val="00C64C35"/>
    <w:rsid w:val="00C667A9"/>
    <w:rsid w:val="00C7081F"/>
    <w:rsid w:val="00C775D2"/>
    <w:rsid w:val="00C82F2B"/>
    <w:rsid w:val="00C85530"/>
    <w:rsid w:val="00C8570D"/>
    <w:rsid w:val="00C91A9C"/>
    <w:rsid w:val="00C94D6A"/>
    <w:rsid w:val="00C957E8"/>
    <w:rsid w:val="00C96407"/>
    <w:rsid w:val="00CA1F4C"/>
    <w:rsid w:val="00CA3F01"/>
    <w:rsid w:val="00CA4E54"/>
    <w:rsid w:val="00CA7181"/>
    <w:rsid w:val="00CB4729"/>
    <w:rsid w:val="00CB7283"/>
    <w:rsid w:val="00CD2311"/>
    <w:rsid w:val="00CD6DD5"/>
    <w:rsid w:val="00CF02E9"/>
    <w:rsid w:val="00CF0433"/>
    <w:rsid w:val="00CF616D"/>
    <w:rsid w:val="00CF75AB"/>
    <w:rsid w:val="00CF766F"/>
    <w:rsid w:val="00D06E13"/>
    <w:rsid w:val="00D12378"/>
    <w:rsid w:val="00D13DF1"/>
    <w:rsid w:val="00D162B5"/>
    <w:rsid w:val="00D170BB"/>
    <w:rsid w:val="00D2064F"/>
    <w:rsid w:val="00D25DD5"/>
    <w:rsid w:val="00D3517D"/>
    <w:rsid w:val="00D41095"/>
    <w:rsid w:val="00D424A8"/>
    <w:rsid w:val="00D43C3C"/>
    <w:rsid w:val="00D52D75"/>
    <w:rsid w:val="00D553FC"/>
    <w:rsid w:val="00D61DEB"/>
    <w:rsid w:val="00D66BCB"/>
    <w:rsid w:val="00D80AE9"/>
    <w:rsid w:val="00D90808"/>
    <w:rsid w:val="00D908B6"/>
    <w:rsid w:val="00D9362A"/>
    <w:rsid w:val="00D951CA"/>
    <w:rsid w:val="00D964F9"/>
    <w:rsid w:val="00D96DDE"/>
    <w:rsid w:val="00DB315C"/>
    <w:rsid w:val="00DB5B26"/>
    <w:rsid w:val="00DC094E"/>
    <w:rsid w:val="00DC5B38"/>
    <w:rsid w:val="00DD28CC"/>
    <w:rsid w:val="00DD5F54"/>
    <w:rsid w:val="00DE0066"/>
    <w:rsid w:val="00DE0CDA"/>
    <w:rsid w:val="00DE4C3D"/>
    <w:rsid w:val="00DF4B6C"/>
    <w:rsid w:val="00E006AF"/>
    <w:rsid w:val="00E03BCF"/>
    <w:rsid w:val="00E03EB1"/>
    <w:rsid w:val="00E0587F"/>
    <w:rsid w:val="00E06D24"/>
    <w:rsid w:val="00E072D8"/>
    <w:rsid w:val="00E10450"/>
    <w:rsid w:val="00E10583"/>
    <w:rsid w:val="00E172D3"/>
    <w:rsid w:val="00E22864"/>
    <w:rsid w:val="00E271CF"/>
    <w:rsid w:val="00E3303D"/>
    <w:rsid w:val="00E33CA7"/>
    <w:rsid w:val="00E4699B"/>
    <w:rsid w:val="00E53E1F"/>
    <w:rsid w:val="00E62768"/>
    <w:rsid w:val="00E666A4"/>
    <w:rsid w:val="00E7052B"/>
    <w:rsid w:val="00E70F2A"/>
    <w:rsid w:val="00E73AFC"/>
    <w:rsid w:val="00E764EE"/>
    <w:rsid w:val="00E84BBD"/>
    <w:rsid w:val="00E95A9B"/>
    <w:rsid w:val="00EA2D92"/>
    <w:rsid w:val="00EA3D3C"/>
    <w:rsid w:val="00EA479E"/>
    <w:rsid w:val="00EC62E5"/>
    <w:rsid w:val="00ED59C8"/>
    <w:rsid w:val="00EE4232"/>
    <w:rsid w:val="00EE7874"/>
    <w:rsid w:val="00EF0F74"/>
    <w:rsid w:val="00F00956"/>
    <w:rsid w:val="00F0147F"/>
    <w:rsid w:val="00F03DB9"/>
    <w:rsid w:val="00F048D4"/>
    <w:rsid w:val="00F05DA2"/>
    <w:rsid w:val="00F14EBB"/>
    <w:rsid w:val="00F160F3"/>
    <w:rsid w:val="00F168A3"/>
    <w:rsid w:val="00F17FC3"/>
    <w:rsid w:val="00F21267"/>
    <w:rsid w:val="00F3014D"/>
    <w:rsid w:val="00F363D2"/>
    <w:rsid w:val="00F36724"/>
    <w:rsid w:val="00F43FD3"/>
    <w:rsid w:val="00F7786B"/>
    <w:rsid w:val="00F77BCA"/>
    <w:rsid w:val="00F847E9"/>
    <w:rsid w:val="00FC2C36"/>
    <w:rsid w:val="00FC54B6"/>
    <w:rsid w:val="00FD3E7D"/>
    <w:rsid w:val="00FE1AEC"/>
    <w:rsid w:val="00FF0A07"/>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36A01"/>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sid w:val="00151F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4A14A1"/>
    <w:pPr>
      <w:keepNext/>
      <w:keepLines/>
      <w:spacing w:before="720"/>
      <w:jc w:val="center"/>
      <w:outlineLvl w:val="0"/>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link w:val="TabletextChar"/>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nhideWhenUsed/>
    <w:rsid w:val="006C4572"/>
    <w:rPr>
      <w:color w:val="0000FF" w:themeColor="hyperlink"/>
      <w:u w:val="single"/>
    </w:rPr>
  </w:style>
  <w:style w:type="table" w:styleId="TableGrid">
    <w:name w:val="Table Grid"/>
    <w:basedOn w:val="TableNormal"/>
    <w:rsid w:val="002B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B46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asons">
    <w:name w:val="Reasons"/>
    <w:basedOn w:val="Normal"/>
    <w:qFormat/>
    <w:rsid w:val="00CF02E9"/>
    <w:pPr>
      <w:tabs>
        <w:tab w:val="clear" w:pos="1134"/>
        <w:tab w:val="clear" w:pos="1871"/>
        <w:tab w:val="clear" w:pos="2268"/>
      </w:tabs>
      <w:overflowPunct/>
      <w:autoSpaceDE/>
      <w:autoSpaceDN/>
      <w:adjustRightInd/>
      <w:spacing w:before="0"/>
      <w:jc w:val="left"/>
      <w:textAlignment w:val="auto"/>
    </w:pPr>
    <w:rPr>
      <w:lang w:val="en-US"/>
    </w:rPr>
  </w:style>
  <w:style w:type="paragraph" w:styleId="ListParagraph">
    <w:name w:val="List Paragraph"/>
    <w:basedOn w:val="Normal"/>
    <w:uiPriority w:val="34"/>
    <w:qFormat/>
    <w:rsid w:val="0063131B"/>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numbering" w:customStyle="1" w:styleId="NoList11">
    <w:name w:val="No List11"/>
    <w:next w:val="NoList"/>
    <w:uiPriority w:val="99"/>
    <w:semiHidden/>
    <w:unhideWhenUsed/>
    <w:rsid w:val="00A462B5"/>
  </w:style>
  <w:style w:type="character" w:customStyle="1" w:styleId="TabletextChar">
    <w:name w:val="Table_text Char"/>
    <w:basedOn w:val="DefaultParagraphFont"/>
    <w:link w:val="Tabletext0"/>
    <w:locked/>
    <w:rsid w:val="00061DE7"/>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99BF2-3619-480B-BD36-D8F8C694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TotalTime>
  <Pages>2</Pages>
  <Words>425</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Règles de procédures / Edition 2025</vt:lpstr>
    </vt:vector>
  </TitlesOfParts>
  <Manager>CP--107223/DD</Manager>
  <Company>ITU</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Reglas de procedimiento / Edition 2009</dc:title>
  <dc:subject>Article 9</dc:subject>
  <dc:creator>Composition des Publications</dc:creator>
  <cp:keywords/>
  <dc:description>Edition 2009:  11.02.2009/DD (dict. ok)</dc:description>
  <cp:lastModifiedBy>Saez Grau, Ricardo</cp:lastModifiedBy>
  <cp:revision>6</cp:revision>
  <cp:lastPrinted>2025-12-02T15:28:00Z</cp:lastPrinted>
  <dcterms:created xsi:type="dcterms:W3CDTF">2025-12-05T10:05:00Z</dcterms:created>
  <dcterms:modified xsi:type="dcterms:W3CDTF">2026-01-29T14:22:00Z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